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8u9i5s80sm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Pasos y recomendaciones clave: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Transparencia en el manejo de las donaciones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Documentación:</w:t>
      </w:r>
      <w:r w:rsidDel="00000000" w:rsidR="00000000" w:rsidRPr="00000000">
        <w:rPr>
          <w:rtl w:val="0"/>
        </w:rPr>
        <w:t xml:space="preserve"> Mantengan un registro detallado de todas las donaciones recibidas y su destino. Esto incluye recibos, facturas y cualquier evidencia que demuestre que los fondos o materiales se utilizan para el fin propuesto.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Comunicación:</w:t>
      </w:r>
      <w:r w:rsidDel="00000000" w:rsidR="00000000" w:rsidRPr="00000000">
        <w:rPr>
          <w:rtl w:val="0"/>
        </w:rPr>
        <w:t xml:space="preserve"> Informen claramente a los donantes sobre cómo serán utilizadas las donaciones para generar confianza.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Contabilidad clara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Aunque no estén obligados a presentar cuentas oficiales, llevar una contabilidad básica de ingresos y gastos será útil en caso de que necesiten justificar la gestión de los fondos.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Usar una cuenta bancaria específica para gestionar las donaciones puede facilitar la transparencia y el control financiero.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Consideraciones legales y fiscales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Para el receptor (ustedes):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 España, recibir donaciones como individuo puede tener implicaciones fiscales, ya que podrían considerarse ingresos y estar sujetos a impuestos. Esto dependerá del monto y la naturaleza de las donaciones.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Si las donaciones son materiales (no dinero), generalmente no generan obligaciones fiscales, pero es importante tener documentación que respalde su origen y uso.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Para el donante: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Sin un marco legal, los donantes no podrán beneficiarse de deducciones fiscales por sus contribuciones. Esto debe quedar claro desde el principio.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Evitar malentendidos legales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Para minimizar riesgos legales, eviten cualquier actividad que pueda interpretarse como una operación comercial o lucrativa. Es crucial demostrar que las donaciones se utilizan exclusivamente para fines no lucrativos o benéficos.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Redacten un documento interno que describa los objetivos del grupo y cómo se gestionan las donaciones. No es legalmente vinculante, pero puede servir como una guía interna.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Aceptar donaciones en especie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Prioricen las donaciones en forma de bienes o materiales en lugar de dinero, ya que estas suelen ser más fáciles de justificar y menos problemáticas desde un punto de vista fiscal.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 el caso de bienes de valor significativo, mantengan registros claros (como un contrato simple de donación).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Ventajas de esta opción: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Menos trámites administrativos.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Mayor flexibilidad en la gestión de los recursos.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Adecuado para iniciativas locales y a pequeña escala.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Desventajas: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 ofrece beneficios fiscales a los donantes.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Mayor riesgo de interpretaciones fiscales desfavorables si no se gestiona correctamente.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 manejan las donaciones de forma responsable y transparente, esta puede ser una solución práctica y efectiva sin necesidad de involucrar estructuras formales.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